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74" w:rsidRDefault="00A17F6C">
      <w:pPr>
        <w:jc w:val="center"/>
        <w:rPr>
          <w:rFonts w:asciiTheme="minorEastAsia" w:hAnsiTheme="minorEastAsia" w:cstheme="minorEastAsia"/>
          <w:b/>
          <w:bCs/>
          <w:color w:val="000000" w:themeColor="text1"/>
          <w:sz w:val="30"/>
          <w:szCs w:val="30"/>
        </w:rPr>
      </w:pPr>
      <w:permStart w:id="1438596138" w:edGrp="everyone"/>
      <w:r>
        <w:rPr>
          <w:rFonts w:asciiTheme="minorEastAsia" w:hAnsiTheme="minorEastAsia" w:cstheme="minorEastAsia" w:hint="eastAsia"/>
          <w:b/>
          <w:bCs/>
          <w:color w:val="000000" w:themeColor="text1"/>
          <w:sz w:val="30"/>
          <w:szCs w:val="30"/>
        </w:rPr>
        <w:t>环湖大道景观提升工程（罗曼园至上相湾段）总承包（EPC）项目</w:t>
      </w:r>
    </w:p>
    <w:p w:rsidR="005C1774" w:rsidRDefault="00A17F6C">
      <w:pPr>
        <w:jc w:val="center"/>
        <w:rPr>
          <w:rFonts w:asciiTheme="minorEastAsia" w:hAnsiTheme="minorEastAsia" w:cstheme="minorEastAsia"/>
          <w:b/>
          <w:bCs/>
          <w:color w:val="000000" w:themeColor="text1"/>
          <w:sz w:val="30"/>
          <w:szCs w:val="30"/>
        </w:rPr>
      </w:pPr>
      <w:r>
        <w:rPr>
          <w:rFonts w:asciiTheme="minorEastAsia" w:hAnsiTheme="minorEastAsia" w:cstheme="minorEastAsia" w:hint="eastAsia"/>
          <w:b/>
          <w:bCs/>
          <w:color w:val="000000" w:themeColor="text1"/>
          <w:sz w:val="30"/>
          <w:szCs w:val="30"/>
        </w:rPr>
        <w:t>-</w:t>
      </w:r>
      <w:r w:rsidR="00760981" w:rsidRPr="00760981">
        <w:rPr>
          <w:rFonts w:asciiTheme="minorEastAsia" w:hAnsiTheme="minorEastAsia" w:cstheme="minorEastAsia" w:hint="eastAsia"/>
          <w:b/>
          <w:bCs/>
          <w:color w:val="000000" w:themeColor="text1"/>
          <w:sz w:val="30"/>
          <w:szCs w:val="30"/>
        </w:rPr>
        <w:t>3A级公厕及管理房木屋专业分包工程</w:t>
      </w:r>
      <w:permEnd w:id="1438596138"/>
      <w:r>
        <w:rPr>
          <w:rFonts w:asciiTheme="minorEastAsia" w:hAnsiTheme="minorEastAsia" w:cstheme="minorEastAsia" w:hint="eastAsia"/>
          <w:b/>
          <w:bCs/>
          <w:color w:val="000000" w:themeColor="text1"/>
          <w:sz w:val="30"/>
          <w:szCs w:val="30"/>
        </w:rPr>
        <w:t>关于招标相关说明</w:t>
      </w:r>
    </w:p>
    <w:p w:rsidR="005C1774" w:rsidRDefault="00A17F6C" w:rsidP="009E5014">
      <w:pPr>
        <w:spacing w:line="420" w:lineRule="exact"/>
        <w:ind w:firstLineChars="200" w:firstLine="480"/>
        <w:rPr>
          <w:rFonts w:asciiTheme="minorEastAsia" w:hAnsiTheme="minorEastAsia" w:cstheme="minorEastAsia"/>
          <w:color w:val="000000" w:themeColor="text1"/>
          <w:sz w:val="24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</w:rPr>
        <w:t>1、本工程招标一栋木屋（参见</w:t>
      </w:r>
      <w:r w:rsidR="000038AE">
        <w:rPr>
          <w:rFonts w:asciiTheme="minorEastAsia" w:hAnsiTheme="minorEastAsia" w:cstheme="minorEastAsia" w:hint="eastAsia"/>
          <w:color w:val="000000" w:themeColor="text1"/>
          <w:sz w:val="24"/>
        </w:rPr>
        <w:t>图纸</w:t>
      </w:r>
      <w:r>
        <w:rPr>
          <w:rFonts w:asciiTheme="minorEastAsia" w:hAnsiTheme="minorEastAsia" w:cstheme="minorEastAsia" w:hint="eastAsia"/>
          <w:color w:val="000000" w:themeColor="text1"/>
          <w:sz w:val="24"/>
        </w:rPr>
        <w:t>）的建筑面积为</w:t>
      </w:r>
      <w:bookmarkStart w:id="0" w:name="_GoBack"/>
      <w:bookmarkEnd w:id="0"/>
      <w:r>
        <w:rPr>
          <w:rFonts w:asciiTheme="minorEastAsia" w:hAnsiTheme="minorEastAsia" w:cstheme="minorEastAsia" w:hint="eastAsia"/>
          <w:color w:val="000000" w:themeColor="text1"/>
          <w:sz w:val="24"/>
        </w:rPr>
        <w:t>招标人根据建设单位、设计单位确定的建筑面积260m2（主要分为3A级公共厕所、管理用房两个部分），该面积为本次招标对各家投标统一要求，该面积投标时不得变动。</w:t>
      </w:r>
    </w:p>
    <w:p w:rsidR="005C1774" w:rsidRDefault="00A17F6C" w:rsidP="009E5014">
      <w:pPr>
        <w:spacing w:line="420" w:lineRule="exact"/>
        <w:ind w:firstLineChars="200" w:firstLine="480"/>
        <w:rPr>
          <w:rFonts w:asciiTheme="minorEastAsia" w:hAnsiTheme="minorEastAsia" w:cstheme="minorEastAsia"/>
          <w:color w:val="000000" w:themeColor="text1"/>
          <w:sz w:val="24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</w:rPr>
        <w:t>2、投标清单中的建筑面积以及后期结算中，关于建筑面积的计算方法均以《GBT 50353-2013建筑工程建筑面积计算</w:t>
      </w:r>
      <w:r w:rsidR="00FC4BA2">
        <w:rPr>
          <w:rFonts w:asciiTheme="minorEastAsia" w:hAnsiTheme="minorEastAsia" w:cstheme="minorEastAsia" w:hint="eastAsia"/>
          <w:color w:val="000000" w:themeColor="text1"/>
          <w:sz w:val="24"/>
        </w:rPr>
        <w:t>规范》中计算规则为准。投标人中标后，根据现场实际情况及</w:t>
      </w:r>
      <w:r>
        <w:rPr>
          <w:rFonts w:asciiTheme="minorEastAsia" w:hAnsiTheme="minorEastAsia" w:cstheme="minorEastAsia" w:hint="eastAsia"/>
          <w:color w:val="000000" w:themeColor="text1"/>
          <w:sz w:val="24"/>
        </w:rPr>
        <w:t>图纸，重新根据该面积计算规则计算出实际建筑面积。</w:t>
      </w:r>
    </w:p>
    <w:p w:rsidR="001D18B7" w:rsidRDefault="00A17F6C" w:rsidP="009E5014">
      <w:pPr>
        <w:spacing w:line="420" w:lineRule="exact"/>
        <w:ind w:firstLineChars="200" w:firstLine="480"/>
        <w:rPr>
          <w:rFonts w:asciiTheme="minorEastAsia" w:hAnsiTheme="minorEastAsia" w:cstheme="minorEastAsia"/>
          <w:color w:val="000000" w:themeColor="text1"/>
          <w:sz w:val="24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</w:rPr>
        <w:t>3、由各投标人根据对提供的</w:t>
      </w:r>
      <w:r w:rsidR="00614784">
        <w:rPr>
          <w:rFonts w:asciiTheme="minorEastAsia" w:hAnsiTheme="minorEastAsia" w:cstheme="minorEastAsia" w:hint="eastAsia"/>
          <w:color w:val="000000" w:themeColor="text1"/>
          <w:sz w:val="24"/>
        </w:rPr>
        <w:t>图纸</w:t>
      </w:r>
      <w:r>
        <w:rPr>
          <w:rFonts w:asciiTheme="minorEastAsia" w:hAnsiTheme="minorEastAsia" w:cstheme="minorEastAsia" w:hint="eastAsia"/>
          <w:color w:val="000000" w:themeColor="text1"/>
          <w:sz w:val="24"/>
        </w:rPr>
        <w:t>理解，设计各自的详细施工图</w:t>
      </w:r>
      <w:r w:rsidR="00614784">
        <w:rPr>
          <w:rFonts w:asciiTheme="minorEastAsia" w:hAnsiTheme="minorEastAsia" w:cstheme="minorEastAsia" w:hint="eastAsia"/>
          <w:color w:val="000000" w:themeColor="text1"/>
          <w:sz w:val="24"/>
        </w:rPr>
        <w:t>，中标单位进场后应立即对投标阶段的施工图、效果图进行深化</w:t>
      </w:r>
      <w:r>
        <w:rPr>
          <w:rFonts w:asciiTheme="minorEastAsia" w:hAnsiTheme="minorEastAsia" w:cstheme="minorEastAsia" w:hint="eastAsia"/>
          <w:color w:val="000000" w:themeColor="text1"/>
          <w:sz w:val="24"/>
        </w:rPr>
        <w:t>。</w:t>
      </w:r>
    </w:p>
    <w:p w:rsidR="005C1774" w:rsidRDefault="00A17F6C" w:rsidP="009E5014">
      <w:pPr>
        <w:spacing w:line="420" w:lineRule="exact"/>
        <w:ind w:firstLineChars="200" w:firstLine="480"/>
        <w:rPr>
          <w:rFonts w:asciiTheme="minorEastAsia" w:hAnsiTheme="minorEastAsia" w:cstheme="minorEastAsia"/>
          <w:color w:val="000000" w:themeColor="text1"/>
          <w:sz w:val="24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</w:rPr>
        <w:t>4、施工界面划分：考虑木屋施工单位专业性较强，由总包单位进行基础施工，木屋中标单位进行木屋上部结构施工。中标单位将电气工程中的电管、暗盒等预埋到位，电线敷设、灯具、面板开关、电箱等由甲方另行安排，内墙板封板前,提前一周通知甲方，并做隐蔽交接；给排水工程，给水管、排水管、阀门（含接头等）由中标单位施工，洁具、水龙头等外露部分由甲方另行安排，中标单位需提前一周通知甲方并办理交接。室内二次装修部分如二次木地板，瓷砖等室内装饰、装修由甲方另行安排。</w:t>
      </w:r>
    </w:p>
    <w:p w:rsidR="005C1774" w:rsidRDefault="00A17F6C" w:rsidP="009E5014">
      <w:pPr>
        <w:spacing w:line="420" w:lineRule="exact"/>
        <w:ind w:firstLineChars="200" w:firstLine="480"/>
        <w:rPr>
          <w:rFonts w:asciiTheme="minorEastAsia" w:hAnsiTheme="minorEastAsia" w:cstheme="minorEastAsia"/>
          <w:color w:val="000000" w:themeColor="text1"/>
          <w:sz w:val="24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</w:rPr>
        <w:t>5</w:t>
      </w:r>
      <w:r w:rsidR="00FC24C7">
        <w:rPr>
          <w:rFonts w:asciiTheme="minorEastAsia" w:hAnsiTheme="minorEastAsia" w:cstheme="minorEastAsia" w:hint="eastAsia"/>
          <w:color w:val="000000" w:themeColor="text1"/>
          <w:sz w:val="24"/>
        </w:rPr>
        <w:t>、本工程对各家投标人</w:t>
      </w:r>
      <w:r>
        <w:rPr>
          <w:rFonts w:asciiTheme="minorEastAsia" w:hAnsiTheme="minorEastAsia" w:cstheme="minorEastAsia" w:hint="eastAsia"/>
          <w:color w:val="000000" w:themeColor="text1"/>
          <w:sz w:val="24"/>
        </w:rPr>
        <w:t>发出了该工程的</w:t>
      </w:r>
      <w:r w:rsidR="00FC24C7">
        <w:rPr>
          <w:rFonts w:asciiTheme="minorEastAsia" w:hAnsiTheme="minorEastAsia" w:cstheme="minorEastAsia" w:hint="eastAsia"/>
          <w:color w:val="000000" w:themeColor="text1"/>
          <w:sz w:val="24"/>
        </w:rPr>
        <w:t>相关图纸</w:t>
      </w:r>
      <w:r>
        <w:rPr>
          <w:rFonts w:asciiTheme="minorEastAsia" w:hAnsiTheme="minorEastAsia" w:cstheme="minorEastAsia" w:hint="eastAsia"/>
          <w:color w:val="000000" w:themeColor="text1"/>
          <w:sz w:val="24"/>
        </w:rPr>
        <w:t>，由各投标人根据自身专业能力、经营水平自行设计、自主报价。</w:t>
      </w:r>
      <w:r w:rsidRPr="00FC24C7">
        <w:rPr>
          <w:rFonts w:asciiTheme="minorEastAsia" w:hAnsiTheme="minorEastAsia" w:cstheme="minorEastAsia" w:hint="eastAsia"/>
          <w:b/>
          <w:color w:val="000000" w:themeColor="text1"/>
          <w:sz w:val="24"/>
        </w:rPr>
        <w:t>报价清单自行编制</w:t>
      </w:r>
      <w:r>
        <w:rPr>
          <w:rFonts w:asciiTheme="minorEastAsia" w:hAnsiTheme="minorEastAsia" w:cstheme="minorEastAsia" w:hint="eastAsia"/>
          <w:color w:val="000000" w:themeColor="text1"/>
          <w:sz w:val="24"/>
        </w:rPr>
        <w:t>，所报子项清单需全部包括完成本工程全部工作内容，所报子项清单单价乘以工程量加上相关措施费、管理费、利润、税金等合计后为该单体木屋的总价，总价除以260m2所得到的平方单价作为该单体建筑单价。由于投标清单量由各投标人自行编制，工程量须根据图纸精确计算，避免多报、少报、漏项，中标人所报出的单平方造价作为中标后深化设计、结算的参照指标。例如，某中标人平方单价为3000元/m2，后期施工结算中，根据设计图纸及现场实际发生工程量乘以中标时各子项单价（包括计取措施费、管理费、利润、税金等）后，如计算出平方单价超过3000元/m2，则按实际建筑面积乘以3000元/m2的造价作为结算价；如计算出的平方单价低于3000元/m2，则按实际计算出的造价作为结算价。</w:t>
      </w:r>
    </w:p>
    <w:p w:rsidR="000038AE" w:rsidRDefault="000038AE">
      <w:pPr>
        <w:spacing w:line="360" w:lineRule="auto"/>
        <w:jc w:val="right"/>
        <w:rPr>
          <w:rFonts w:asciiTheme="minorEastAsia" w:hAnsiTheme="minorEastAsia" w:cstheme="minorEastAsia"/>
          <w:color w:val="000000" w:themeColor="text1"/>
          <w:sz w:val="24"/>
        </w:rPr>
      </w:pPr>
    </w:p>
    <w:p w:rsidR="000038AE" w:rsidRDefault="000038AE">
      <w:pPr>
        <w:spacing w:line="360" w:lineRule="auto"/>
        <w:jc w:val="right"/>
        <w:rPr>
          <w:rFonts w:asciiTheme="minorEastAsia" w:hAnsiTheme="minorEastAsia" w:cstheme="minorEastAsia"/>
          <w:color w:val="000000" w:themeColor="text1"/>
          <w:sz w:val="24"/>
        </w:rPr>
      </w:pPr>
    </w:p>
    <w:p w:rsidR="005C1774" w:rsidRDefault="000038AE">
      <w:pPr>
        <w:spacing w:line="360" w:lineRule="auto"/>
        <w:jc w:val="right"/>
        <w:rPr>
          <w:rFonts w:asciiTheme="minorEastAsia" w:hAnsiTheme="minorEastAsia" w:cstheme="minorEastAsia"/>
          <w:color w:val="000000" w:themeColor="text1"/>
          <w:sz w:val="24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</w:rPr>
        <w:t>招标人</w:t>
      </w:r>
      <w:r>
        <w:rPr>
          <w:rFonts w:asciiTheme="minorEastAsia" w:hAnsiTheme="minorEastAsia" w:cstheme="minorEastAsia"/>
          <w:color w:val="000000" w:themeColor="text1"/>
          <w:sz w:val="24"/>
        </w:rPr>
        <w:t>：</w:t>
      </w:r>
      <w:r w:rsidR="00A17F6C">
        <w:rPr>
          <w:rFonts w:asciiTheme="minorEastAsia" w:hAnsiTheme="minorEastAsia" w:cstheme="minorEastAsia" w:hint="eastAsia"/>
          <w:color w:val="000000" w:themeColor="text1"/>
          <w:sz w:val="24"/>
        </w:rPr>
        <w:t>大千生态环境集团股份有限公司</w:t>
      </w:r>
    </w:p>
    <w:p w:rsidR="005C1774" w:rsidRDefault="000038AE">
      <w:pPr>
        <w:spacing w:line="360" w:lineRule="auto"/>
        <w:jc w:val="right"/>
        <w:rPr>
          <w:rFonts w:asciiTheme="minorEastAsia" w:hAnsiTheme="minorEastAsia" w:cstheme="minorEastAsia"/>
          <w:color w:val="000000" w:themeColor="text1"/>
          <w:sz w:val="24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</w:rPr>
        <w:t>2020.04.03</w:t>
      </w:r>
    </w:p>
    <w:sectPr w:rsidR="005C1774">
      <w:pgSz w:w="11906" w:h="16838"/>
      <w:pgMar w:top="1417" w:right="1247" w:bottom="141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BAB" w:rsidRDefault="00CD1BAB" w:rsidP="002D3D7B">
      <w:pPr>
        <w:rPr>
          <w:rFonts w:hint="eastAsia"/>
        </w:rPr>
      </w:pPr>
      <w:r>
        <w:separator/>
      </w:r>
    </w:p>
  </w:endnote>
  <w:endnote w:type="continuationSeparator" w:id="0">
    <w:p w:rsidR="00CD1BAB" w:rsidRDefault="00CD1BAB" w:rsidP="002D3D7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BAB" w:rsidRDefault="00CD1BAB" w:rsidP="002D3D7B">
      <w:pPr>
        <w:rPr>
          <w:rFonts w:hint="eastAsia"/>
        </w:rPr>
      </w:pPr>
      <w:r>
        <w:separator/>
      </w:r>
    </w:p>
  </w:footnote>
  <w:footnote w:type="continuationSeparator" w:id="0">
    <w:p w:rsidR="00CD1BAB" w:rsidRDefault="00CD1BAB" w:rsidP="002D3D7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74"/>
    <w:rsid w:val="000038AE"/>
    <w:rsid w:val="001D18B7"/>
    <w:rsid w:val="002722B2"/>
    <w:rsid w:val="002D3D7B"/>
    <w:rsid w:val="004E6B29"/>
    <w:rsid w:val="005C1774"/>
    <w:rsid w:val="0060086F"/>
    <w:rsid w:val="00614784"/>
    <w:rsid w:val="00616E1D"/>
    <w:rsid w:val="00760981"/>
    <w:rsid w:val="009E5014"/>
    <w:rsid w:val="00A17F6C"/>
    <w:rsid w:val="00CD1BAB"/>
    <w:rsid w:val="00CF30D9"/>
    <w:rsid w:val="00EB360B"/>
    <w:rsid w:val="00FC24C7"/>
    <w:rsid w:val="00FC4BA2"/>
    <w:rsid w:val="11D23B59"/>
    <w:rsid w:val="19901E96"/>
    <w:rsid w:val="1DE55EBE"/>
    <w:rsid w:val="6C702F90"/>
    <w:rsid w:val="7126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0BA7D93-9DDA-43F9-9571-07F3E5B4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D3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D3D7B"/>
    <w:rPr>
      <w:kern w:val="2"/>
      <w:sz w:val="18"/>
      <w:szCs w:val="18"/>
    </w:rPr>
  </w:style>
  <w:style w:type="paragraph" w:styleId="a4">
    <w:name w:val="footer"/>
    <w:basedOn w:val="a"/>
    <w:link w:val="Char0"/>
    <w:rsid w:val="002D3D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D3D7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824</Characters>
  <Application>Microsoft Office Word</Application>
  <DocSecurity>0</DocSecurity>
  <Lines>6</Lines>
  <Paragraphs>1</Paragraphs>
  <ScaleCrop>false</ScaleCrop>
  <Company>Microsoft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8</cp:revision>
  <dcterms:created xsi:type="dcterms:W3CDTF">2014-10-29T12:08:00Z</dcterms:created>
  <dcterms:modified xsi:type="dcterms:W3CDTF">2020-04-03T09:14:00Z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